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5226F" w14:textId="6EE77993" w:rsidR="0092309F" w:rsidRPr="0092309F" w:rsidRDefault="0092309F" w:rsidP="0092309F">
      <w:pPr>
        <w:spacing w:after="120"/>
        <w:jc w:val="center"/>
        <w:rPr>
          <w:rFonts w:asciiTheme="minorHAnsi" w:hAnsiTheme="minorHAnsi" w:cstheme="minorHAnsi"/>
          <w:w w:val="97"/>
          <w:sz w:val="32"/>
          <w:szCs w:val="32"/>
        </w:rPr>
      </w:pPr>
      <w:r w:rsidRPr="0092309F">
        <w:rPr>
          <w:rFonts w:asciiTheme="minorHAnsi" w:hAnsiTheme="minorHAnsi" w:cstheme="minorHAnsi"/>
          <w:noProof/>
          <w:w w:val="97"/>
          <w:sz w:val="32"/>
          <w:szCs w:val="32"/>
        </w:rPr>
        <w:drawing>
          <wp:anchor distT="0" distB="0" distL="114300" distR="114300" simplePos="0" relativeHeight="251661312" behindDoc="1" locked="0" layoutInCell="1" allowOverlap="1" wp14:anchorId="1BC4AA13" wp14:editId="6615CD9F">
            <wp:simplePos x="0" y="0"/>
            <wp:positionH relativeFrom="column">
              <wp:posOffset>2162175</wp:posOffset>
            </wp:positionH>
            <wp:positionV relativeFrom="paragraph">
              <wp:posOffset>-504825</wp:posOffset>
            </wp:positionV>
            <wp:extent cx="1757680" cy="17564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7680" cy="1756410"/>
                    </a:xfrm>
                    <a:prstGeom prst="rect">
                      <a:avLst/>
                    </a:prstGeom>
                  </pic:spPr>
                </pic:pic>
              </a:graphicData>
            </a:graphic>
            <wp14:sizeRelH relativeFrom="margin">
              <wp14:pctWidth>0</wp14:pctWidth>
            </wp14:sizeRelH>
            <wp14:sizeRelV relativeFrom="margin">
              <wp14:pctHeight>0</wp14:pctHeight>
            </wp14:sizeRelV>
          </wp:anchor>
        </w:drawing>
      </w:r>
      <w:r w:rsidRPr="0092309F">
        <w:rPr>
          <w:rFonts w:asciiTheme="minorHAnsi" w:hAnsiTheme="minorHAnsi" w:cstheme="minorHAnsi"/>
          <w:w w:val="97"/>
          <w:sz w:val="32"/>
          <w:szCs w:val="32"/>
        </w:rPr>
        <w:t>PENNSYLVANIA ASSOCIATION OF PROTHONOTARIES AND CLERKS OF COURT</w:t>
      </w:r>
    </w:p>
    <w:p w14:paraId="412FEC32" w14:textId="6685144D" w:rsidR="0092309F" w:rsidRPr="0092309F" w:rsidRDefault="0092309F" w:rsidP="0092309F">
      <w:pPr>
        <w:spacing w:after="120"/>
        <w:jc w:val="center"/>
        <w:rPr>
          <w:rFonts w:ascii="Rockwell Extra Bold" w:hAnsi="Rockwell Extra Bold"/>
          <w:b/>
          <w:bCs/>
          <w:w w:val="97"/>
          <w:sz w:val="48"/>
          <w:szCs w:val="48"/>
          <w:u w:val="single"/>
        </w:rPr>
      </w:pPr>
      <w:r w:rsidRPr="0092309F">
        <w:rPr>
          <w:rFonts w:ascii="Rockwell Extra Bold" w:hAnsi="Rockwell Extra Bold"/>
          <w:b/>
          <w:bCs/>
          <w:w w:val="97"/>
          <w:sz w:val="48"/>
          <w:szCs w:val="48"/>
          <w:u w:val="single"/>
        </w:rPr>
        <w:t>BY-LAWS</w:t>
      </w:r>
    </w:p>
    <w:p w14:paraId="1A68BB85" w14:textId="1EEFB444" w:rsidR="0092309F" w:rsidRPr="001E366D" w:rsidRDefault="001E366D" w:rsidP="0092309F">
      <w:pPr>
        <w:spacing w:after="120"/>
        <w:jc w:val="center"/>
        <w:rPr>
          <w:rFonts w:ascii="Rockwell" w:hAnsi="Rockwell"/>
          <w:i/>
          <w:iCs/>
          <w:w w:val="97"/>
        </w:rPr>
      </w:pPr>
      <w:r>
        <w:rPr>
          <w:rFonts w:ascii="Rockwell" w:hAnsi="Rockwell"/>
          <w:i/>
          <w:iCs/>
          <w:w w:val="97"/>
        </w:rPr>
        <w:t xml:space="preserve">Rev. </w:t>
      </w:r>
      <w:r w:rsidR="0092309F" w:rsidRPr="001E366D">
        <w:rPr>
          <w:rFonts w:ascii="Rockwell" w:hAnsi="Rockwell"/>
          <w:i/>
          <w:iCs/>
          <w:w w:val="97"/>
        </w:rPr>
        <w:t>2024</w:t>
      </w:r>
    </w:p>
    <w:p w14:paraId="521A9E90" w14:textId="17484E79" w:rsidR="0092309F" w:rsidRDefault="0092309F" w:rsidP="0092309F">
      <w:pPr>
        <w:spacing w:after="120"/>
        <w:jc w:val="center"/>
        <w:rPr>
          <w:w w:val="97"/>
          <w:sz w:val="24"/>
          <w:szCs w:val="24"/>
        </w:rPr>
      </w:pPr>
    </w:p>
    <w:p w14:paraId="7266EFB4" w14:textId="0C388232" w:rsidR="00F55E1E" w:rsidRPr="003137EE" w:rsidRDefault="00F55E1E" w:rsidP="0092309F">
      <w:pPr>
        <w:spacing w:after="120"/>
        <w:jc w:val="center"/>
        <w:rPr>
          <w:w w:val="97"/>
          <w:sz w:val="24"/>
          <w:szCs w:val="24"/>
        </w:rPr>
      </w:pPr>
      <w:r w:rsidRPr="003137EE">
        <w:rPr>
          <w:w w:val="97"/>
          <w:sz w:val="24"/>
          <w:szCs w:val="24"/>
        </w:rPr>
        <w:t>ARTICLE</w:t>
      </w:r>
      <w:r w:rsidRPr="003137EE">
        <w:rPr>
          <w:spacing w:val="-5"/>
          <w:sz w:val="24"/>
          <w:szCs w:val="24"/>
        </w:rPr>
        <w:t xml:space="preserve"> </w:t>
      </w:r>
      <w:r w:rsidRPr="003137EE">
        <w:rPr>
          <w:spacing w:val="6"/>
          <w:w w:val="105"/>
          <w:sz w:val="24"/>
          <w:szCs w:val="24"/>
        </w:rPr>
        <w:t>X</w:t>
      </w:r>
      <w:r w:rsidRPr="003137EE">
        <w:rPr>
          <w:spacing w:val="2"/>
          <w:w w:val="105"/>
          <w:sz w:val="24"/>
          <w:szCs w:val="24"/>
        </w:rPr>
        <w:t>I</w:t>
      </w:r>
      <w:r w:rsidRPr="003137EE">
        <w:rPr>
          <w:w w:val="236"/>
          <w:sz w:val="24"/>
          <w:szCs w:val="24"/>
        </w:rPr>
        <w:t>-</w:t>
      </w:r>
      <w:r w:rsidRPr="003137EE">
        <w:rPr>
          <w:spacing w:val="-10"/>
          <w:sz w:val="24"/>
          <w:szCs w:val="24"/>
        </w:rPr>
        <w:t xml:space="preserve"> </w:t>
      </w:r>
      <w:r w:rsidRPr="003137EE">
        <w:rPr>
          <w:spacing w:val="1"/>
          <w:w w:val="96"/>
          <w:sz w:val="24"/>
          <w:szCs w:val="24"/>
        </w:rPr>
        <w:t>COMMITTEE</w:t>
      </w:r>
      <w:r w:rsidRPr="003137EE">
        <w:rPr>
          <w:w w:val="96"/>
          <w:sz w:val="24"/>
          <w:szCs w:val="24"/>
        </w:rPr>
        <w:t>S</w:t>
      </w:r>
      <w:r w:rsidRPr="003137EE">
        <w:rPr>
          <w:sz w:val="24"/>
          <w:szCs w:val="24"/>
        </w:rPr>
        <w:t xml:space="preserve"> </w:t>
      </w:r>
      <w:r w:rsidRPr="003137EE">
        <w:rPr>
          <w:spacing w:val="1"/>
          <w:w w:val="90"/>
          <w:sz w:val="24"/>
          <w:szCs w:val="24"/>
        </w:rPr>
        <w:t>AN</w:t>
      </w:r>
      <w:r w:rsidRPr="003137EE">
        <w:rPr>
          <w:w w:val="90"/>
          <w:sz w:val="24"/>
          <w:szCs w:val="24"/>
        </w:rPr>
        <w:t>D</w:t>
      </w:r>
      <w:r w:rsidRPr="003137EE">
        <w:rPr>
          <w:spacing w:val="2"/>
          <w:sz w:val="24"/>
          <w:szCs w:val="24"/>
        </w:rPr>
        <w:t xml:space="preserve"> </w:t>
      </w:r>
      <w:r w:rsidRPr="003137EE">
        <w:rPr>
          <w:w w:val="97"/>
          <w:sz w:val="24"/>
          <w:szCs w:val="24"/>
        </w:rPr>
        <w:t>DUTIES</w:t>
      </w:r>
    </w:p>
    <w:p w14:paraId="7206BBBB" w14:textId="77777777" w:rsidR="00F55E1E" w:rsidRDefault="00F55E1E" w:rsidP="00F55E1E">
      <w:pPr>
        <w:spacing w:after="120"/>
      </w:pPr>
      <w:r w:rsidRPr="00F55E1E">
        <w:rPr>
          <w:b/>
          <w:bCs/>
        </w:rPr>
        <w:t>Section 1</w:t>
      </w:r>
      <w:r>
        <w:t xml:space="preserve"> </w:t>
      </w:r>
      <w:r>
        <w:rPr>
          <w:w w:val="140"/>
        </w:rPr>
        <w:t xml:space="preserve">- </w:t>
      </w:r>
      <w:r>
        <w:t>The Executive Committee shall consist of all Elected Officers of the Association, the immediate Past President and six (6) other members of the Association who shall be elected at the Annual Conference. The six (6) elected shall be voting members of the Association. The duties of the Executive Committee shall be to act with full power for the Association in case of emergency. The Executive Committee may appoint a Solicitor for the Association and approve the Solicitor's retainer.</w:t>
      </w:r>
    </w:p>
    <w:p w14:paraId="075CF224" w14:textId="77777777" w:rsidR="00F55E1E" w:rsidRDefault="00F55E1E" w:rsidP="00F55E1E">
      <w:pPr>
        <w:spacing w:after="120"/>
      </w:pPr>
      <w:r w:rsidRPr="00F55E1E">
        <w:rPr>
          <w:b/>
          <w:bCs/>
        </w:rPr>
        <w:t xml:space="preserve">Section 2 </w:t>
      </w:r>
      <w:r>
        <w:rPr>
          <w:w w:val="145"/>
        </w:rPr>
        <w:t xml:space="preserve">- </w:t>
      </w:r>
      <w:r>
        <w:t>The Legislative Committee shall consist of nine (9) persons to be appointed by the</w:t>
      </w:r>
    </w:p>
    <w:p w14:paraId="13C216A3" w14:textId="626C0CF5" w:rsidR="00F55E1E" w:rsidRDefault="00F55E1E" w:rsidP="00F55E1E">
      <w:pPr>
        <w:spacing w:after="120"/>
      </w:pPr>
      <w:r>
        <w:t xml:space="preserve">President. One (1) person shall be from each of the nine (9) regions, said regions to be designated </w:t>
      </w:r>
    </w:p>
    <w:p w14:paraId="11910C8B" w14:textId="77777777" w:rsidR="00F55E1E" w:rsidRPr="00DA5922" w:rsidRDefault="00F55E1E" w:rsidP="00DA5922">
      <w:pPr>
        <w:pStyle w:val="ListParagraph"/>
        <w:spacing w:after="120"/>
      </w:pPr>
      <w:r w:rsidRPr="00DA5922">
        <w:t>by the Executive Committee. From the nine (9) persons so appointed, the President shall designate three (3) as representatives plus one (1) alternate to the Pennsylvania State Association of Elected County Officials (</w:t>
      </w:r>
      <w:proofErr w:type="spellStart"/>
      <w:r w:rsidRPr="00DA5922">
        <w:t>P.S.A.E.C.O</w:t>
      </w:r>
      <w:proofErr w:type="spellEnd"/>
      <w:r w:rsidRPr="00DA5922">
        <w:t>.) The Legislative Committee shall have charge of all proposed legislation approved by the Association and shall submit to the Association at its Annual Conference proposed bills for consideration of the Association for introduction at the next session of the Legislature. Such committee shall have charge of the expenditure of such an amount from the funds of the Association as may be appropriated by a vote of the members of the Annual Conference or executive Committee to carry on legislative work.</w:t>
      </w:r>
    </w:p>
    <w:p w14:paraId="049ADE0E" w14:textId="77777777" w:rsidR="00F55E1E" w:rsidRPr="00DA5922" w:rsidRDefault="00F55E1E" w:rsidP="00DA5922">
      <w:pPr>
        <w:pStyle w:val="ListParagraph"/>
        <w:spacing w:after="120"/>
      </w:pPr>
      <w:r w:rsidRPr="00DA5922">
        <w:rPr>
          <w:b/>
          <w:bCs/>
        </w:rPr>
        <w:t>Section 3</w:t>
      </w:r>
      <w:r w:rsidRPr="00DA5922">
        <w:t xml:space="preserve"> - Contracts - All contracts dealing with any function shall be reviewed by the Solicitor (legal counsel) and approved and signed by the President with the exception of contracts for upcoming conferences which can be negotiated by the Officer who is having that conference and signed by that Officer after review by the Solicitor. All contracts will be held by the Secretary and copied to the President and Solicitor and other interested parties as determined by the President.</w:t>
      </w:r>
    </w:p>
    <w:p w14:paraId="44458358" w14:textId="77777777" w:rsidR="00F55E1E" w:rsidRPr="00DA5922" w:rsidRDefault="00F55E1E" w:rsidP="00DA5922">
      <w:pPr>
        <w:pStyle w:val="ListParagraph"/>
        <w:spacing w:after="120"/>
      </w:pPr>
      <w:r w:rsidRPr="00DA5922">
        <w:rPr>
          <w:b/>
          <w:bCs/>
        </w:rPr>
        <w:t>Section 4</w:t>
      </w:r>
      <w:r w:rsidRPr="00DA5922">
        <w:t xml:space="preserve"> - Committees - The following is a list of standing committees to be appointed by the President: Auditing; Bylaws; Legislative (see Article XI, Section 2); PSAECO (SEE Article XI, Section 2); Manual Committees - Clerks of Courts and Prothonotaries; and Nominating. The following is a list of suggested committees to be appointed by the President; Distribution; Orientation; Ways and Means; Yearbook; Historian; Vendor; Continuing Education and Automation/Website. The Governor appoints the representatives to the Pennsylvania County Records Committee (1 Clerk and 1 Prothonotary).</w:t>
      </w:r>
    </w:p>
    <w:p w14:paraId="4A4CEA10" w14:textId="74190BDB" w:rsidR="00DA5922" w:rsidRDefault="00DA5922" w:rsidP="00DA5922">
      <w:pPr>
        <w:pStyle w:val="BodyText"/>
        <w:kinsoku w:val="0"/>
        <w:overflowPunct w:val="0"/>
        <w:spacing w:after="120"/>
        <w:jc w:val="center"/>
        <w:rPr>
          <w:w w:val="105"/>
        </w:rPr>
      </w:pPr>
      <w:r>
        <w:rPr>
          <w:w w:val="105"/>
        </w:rPr>
        <w:lastRenderedPageBreak/>
        <w:t xml:space="preserve">ARTICLE XII </w:t>
      </w:r>
      <w:r>
        <w:rPr>
          <w:w w:val="140"/>
        </w:rPr>
        <w:t>–</w:t>
      </w:r>
      <w:r>
        <w:rPr>
          <w:spacing w:val="-65"/>
          <w:w w:val="140"/>
        </w:rPr>
        <w:t xml:space="preserve"> </w:t>
      </w:r>
      <w:r>
        <w:rPr>
          <w:w w:val="105"/>
        </w:rPr>
        <w:t>EXPENSES</w:t>
      </w:r>
    </w:p>
    <w:p w14:paraId="7DA319C9" w14:textId="77777777" w:rsidR="00DA5922" w:rsidRPr="00DA5922" w:rsidRDefault="00DA5922" w:rsidP="003137EE">
      <w:pPr>
        <w:pStyle w:val="BodyText"/>
        <w:spacing w:after="120"/>
        <w:rPr>
          <w:w w:val="95"/>
        </w:rPr>
      </w:pPr>
      <w:r w:rsidRPr="00DA5922">
        <w:rPr>
          <w:w w:val="95"/>
        </w:rPr>
        <w:t>The expenses of the Annual Conference of the Association, including the annual Association dues, printing, committee expenses and stenographer, shall be paid by the respective counties as provided by Legislature and shall be collected by the Treasurer.</w:t>
      </w:r>
    </w:p>
    <w:p w14:paraId="686612E1" w14:textId="1665200D" w:rsidR="00DA5922" w:rsidRDefault="00DA5922" w:rsidP="00DA5922">
      <w:pPr>
        <w:pStyle w:val="BodyText"/>
        <w:kinsoku w:val="0"/>
        <w:overflowPunct w:val="0"/>
        <w:spacing w:after="120"/>
        <w:ind w:left="52" w:right="56" w:firstLine="1"/>
        <w:jc w:val="center"/>
        <w:rPr>
          <w:w w:val="105"/>
        </w:rPr>
      </w:pPr>
      <w:r>
        <w:rPr>
          <w:w w:val="105"/>
        </w:rPr>
        <w:t xml:space="preserve">ARTICLE XIII </w:t>
      </w:r>
      <w:r>
        <w:rPr>
          <w:w w:val="130"/>
        </w:rPr>
        <w:t>-</w:t>
      </w:r>
      <w:r>
        <w:rPr>
          <w:spacing w:val="-62"/>
          <w:w w:val="130"/>
        </w:rPr>
        <w:t xml:space="preserve"> </w:t>
      </w:r>
      <w:r>
        <w:rPr>
          <w:w w:val="105"/>
        </w:rPr>
        <w:t>RULES OF ORDER</w:t>
      </w:r>
    </w:p>
    <w:p w14:paraId="2EEF3FEB" w14:textId="77777777" w:rsidR="00DA5922" w:rsidRPr="00DA5922" w:rsidRDefault="00DA5922" w:rsidP="003137EE">
      <w:pPr>
        <w:pStyle w:val="BodyText"/>
        <w:spacing w:after="120"/>
        <w:rPr>
          <w:w w:val="95"/>
        </w:rPr>
      </w:pPr>
      <w:r w:rsidRPr="00DA5922">
        <w:rPr>
          <w:w w:val="95"/>
        </w:rPr>
        <w:t>Except as otherwise decided by two-thirds vote of the members present and voting, the parliamentary practice which shall govern the deliberations of the Association at its Annual Conference shall be the Robert's Rules of Order.</w:t>
      </w:r>
    </w:p>
    <w:p w14:paraId="2B73EFB7" w14:textId="39B20878" w:rsidR="00DA5922" w:rsidRDefault="00DA5922" w:rsidP="00DA5922">
      <w:pPr>
        <w:pStyle w:val="BodyText"/>
        <w:kinsoku w:val="0"/>
        <w:overflowPunct w:val="0"/>
        <w:spacing w:after="120"/>
        <w:jc w:val="center"/>
        <w:rPr>
          <w:w w:val="105"/>
        </w:rPr>
      </w:pPr>
      <w:r>
        <w:rPr>
          <w:w w:val="105"/>
        </w:rPr>
        <w:t xml:space="preserve">ARTICLE XIV </w:t>
      </w:r>
      <w:r w:rsidR="003137EE">
        <w:rPr>
          <w:w w:val="135"/>
        </w:rPr>
        <w:t>–</w:t>
      </w:r>
      <w:r>
        <w:rPr>
          <w:spacing w:val="-59"/>
          <w:w w:val="135"/>
        </w:rPr>
        <w:t xml:space="preserve"> </w:t>
      </w:r>
      <w:r>
        <w:rPr>
          <w:w w:val="105"/>
        </w:rPr>
        <w:t>VACANCIES</w:t>
      </w:r>
    </w:p>
    <w:p w14:paraId="78F457D4" w14:textId="0B1332B4" w:rsidR="00DA5922" w:rsidRPr="00DA5922" w:rsidRDefault="00DA5922" w:rsidP="003137EE">
      <w:pPr>
        <w:pStyle w:val="BodyText"/>
        <w:spacing w:after="120"/>
        <w:rPr>
          <w:w w:val="95"/>
        </w:rPr>
      </w:pPr>
      <w:r w:rsidRPr="00DA5922">
        <w:rPr>
          <w:w w:val="95"/>
        </w:rPr>
        <w:t>The President shall fill all vacancies that occur on the Executive Committee for the unexpired term; said appointment to terminate when the general assembly convenes at the next Annual Conference. Should a vacancy occur in the office of President, the office shall automatically be assumed by the First Vice President. Should a vacancy occur in the office of the First Vice President, the office shall automatically be assumed by the Second Vice President. To fill any of the aforementioned offices, other than as prescribed above, the President shall select a nominee who shall be a member of the Executive Committee; said nominee to be approved by the Executive Committee by a majority vote to fill the vacancy created.</w:t>
      </w:r>
    </w:p>
    <w:p w14:paraId="2D5039F5" w14:textId="57B9E754" w:rsidR="0040499C" w:rsidRDefault="0040499C" w:rsidP="0040499C">
      <w:pPr>
        <w:pStyle w:val="BodyText"/>
        <w:kinsoku w:val="0"/>
        <w:overflowPunct w:val="0"/>
        <w:spacing w:after="120"/>
        <w:jc w:val="center"/>
      </w:pPr>
      <w:r>
        <w:t>ARTICLE XV - EXECUTIVE BOARD (COMMITTEE) LIABILITY</w:t>
      </w:r>
    </w:p>
    <w:p w14:paraId="79CC2758" w14:textId="333A4694" w:rsidR="0040499C" w:rsidRDefault="0040499C" w:rsidP="0040499C">
      <w:pPr>
        <w:pStyle w:val="BodyText"/>
        <w:kinsoku w:val="0"/>
        <w:overflowPunct w:val="0"/>
        <w:spacing w:after="120"/>
        <w:jc w:val="center"/>
      </w:pPr>
      <w:r>
        <w:t>INDEMNIFICATION</w:t>
      </w:r>
    </w:p>
    <w:p w14:paraId="6DCA80A7" w14:textId="77777777" w:rsidR="0040499C" w:rsidRPr="0040499C" w:rsidRDefault="0040499C" w:rsidP="003137EE">
      <w:pPr>
        <w:pStyle w:val="BodyText"/>
        <w:spacing w:after="120"/>
      </w:pPr>
      <w:r w:rsidRPr="0040499C">
        <w:rPr>
          <w:b/>
          <w:bCs/>
        </w:rPr>
        <w:t>Section 1</w:t>
      </w:r>
      <w:r w:rsidRPr="0040499C">
        <w:t xml:space="preserve"> </w:t>
      </w:r>
      <w:r w:rsidRPr="0040499C">
        <w:rPr>
          <w:w w:val="140"/>
        </w:rPr>
        <w:t xml:space="preserve">- </w:t>
      </w:r>
      <w:r w:rsidRPr="0040499C">
        <w:t>In accordance with and to the fullest extent permitted by the Director's Liability Act (15 Pa. C.S.A. Chapter 5B), no person who is or was a member of the board shall be personally liable for monetary damages as such for any action taken, or failure to take action as a member of the board, unless:</w:t>
      </w:r>
    </w:p>
    <w:p w14:paraId="0CB66AB3" w14:textId="77777777" w:rsidR="0040499C" w:rsidRPr="0040499C" w:rsidRDefault="0040499C" w:rsidP="003137EE">
      <w:pPr>
        <w:pStyle w:val="BodyText"/>
        <w:spacing w:after="120"/>
      </w:pPr>
      <w:r w:rsidRPr="0040499C">
        <w:t>(a) the member has breached of failed to perform any duties his/her office as defined in 15 Pa.</w:t>
      </w:r>
    </w:p>
    <w:p w14:paraId="4D281B62" w14:textId="77777777" w:rsidR="0040499C" w:rsidRPr="0040499C" w:rsidRDefault="0040499C" w:rsidP="003137EE">
      <w:pPr>
        <w:pStyle w:val="BodyText"/>
        <w:spacing w:after="120"/>
      </w:pPr>
      <w:r w:rsidRPr="0040499C">
        <w:t>C.S.A. Chapter 5B (relating to standard of care and justifiable reliance); and</w:t>
      </w:r>
    </w:p>
    <w:p w14:paraId="440D51A7" w14:textId="77777777" w:rsidR="0040499C" w:rsidRDefault="0040499C" w:rsidP="003137EE">
      <w:pPr>
        <w:pStyle w:val="BodyText"/>
        <w:spacing w:after="120"/>
      </w:pPr>
      <w:r w:rsidRPr="0040499C">
        <w:t xml:space="preserve">(b) the breach of failure to perform constitutes self-dealing, willful misconduct, or recklessness. </w:t>
      </w:r>
    </w:p>
    <w:p w14:paraId="16AF6DF3" w14:textId="1B19B3A4" w:rsidR="0040499C" w:rsidRPr="0040499C" w:rsidRDefault="0040499C" w:rsidP="003137EE">
      <w:pPr>
        <w:pStyle w:val="BodyText"/>
        <w:spacing w:after="120"/>
      </w:pPr>
      <w:r w:rsidRPr="0040499C">
        <w:rPr>
          <w:b/>
          <w:bCs/>
        </w:rPr>
        <w:t>Section 2</w:t>
      </w:r>
      <w:r w:rsidRPr="0040499C">
        <w:t xml:space="preserve"> </w:t>
      </w:r>
      <w:r w:rsidRPr="0040499C">
        <w:rPr>
          <w:w w:val="140"/>
        </w:rPr>
        <w:t xml:space="preserve">- </w:t>
      </w:r>
      <w:r w:rsidRPr="0040499C">
        <w:t>If Pennsylvania law hereafter is amended to authorize the further elimination of or limitation on the liability of directors, then the liability of a member of the board, in addition to limitation on personal liability provided therein, shall be limited to the fullest extent permitted by amended Pennsylvania law.</w:t>
      </w:r>
    </w:p>
    <w:p w14:paraId="6319B39B" w14:textId="7F026CED" w:rsidR="0040499C" w:rsidRPr="0040499C" w:rsidRDefault="0040499C" w:rsidP="003137EE">
      <w:pPr>
        <w:pStyle w:val="BodyText"/>
        <w:spacing w:after="120"/>
      </w:pPr>
      <w:r w:rsidRPr="0040499C">
        <w:rPr>
          <w:b/>
          <w:bCs/>
        </w:rPr>
        <w:t>Section 3</w:t>
      </w:r>
      <w:r w:rsidRPr="0040499C">
        <w:t xml:space="preserve"> </w:t>
      </w:r>
      <w:r w:rsidRPr="0040499C">
        <w:rPr>
          <w:w w:val="140"/>
        </w:rPr>
        <w:t xml:space="preserve">- </w:t>
      </w:r>
      <w:r w:rsidRPr="0040499C">
        <w:t xml:space="preserve">The Board shall indemnify each person who is or was a member or officer of the Board or of any other corporation or other entity which he/she served as such at the request of the Board, against any and all liability and reasonable expense that may be incurred in connection with or resulting from any claim, action, suit, or proceeding (whether brought by or in the right of the Board of such corporation or otherwise), civil or criminal, or in connection </w:t>
      </w:r>
      <w:r w:rsidRPr="0040499C">
        <w:lastRenderedPageBreak/>
        <w:t>with an appeal relating thereto, in which he/she may become involved, as party or otherwise (other than a party plaintiff suing on his/her own behalf or in the right of the board), by reason of being or having been a member or officer of the Board or of such other corporation or entity, or by reason of any past or future action taken or not taken in his/her capacity as such member or officer, whether or not he/she continues to be such at the time such liability or expense is incurred, except where there shall have been a judgment rendered by a court specifically finding that the action or conduct of such member or officer constituted willful misconduct or recklessness. As used in this Article, the terms "liability: and "expense" shall include, but shall not be limited to, counsel fees and disbursements and amounts of</w:t>
      </w:r>
      <w:r>
        <w:t xml:space="preserve"> </w:t>
      </w:r>
      <w:r w:rsidRPr="0040499C">
        <w:t>judgments, fines, and penalties against, and amounts paid in settlement by a member or officer. Expenses incurred with respect to any claim, action, suit, or proceeding described above may be advanced by the Board prior to the final disposition thereof upon receipt of an undertaking by or on behalf of the recipient to repay such amount if it shall ultimately be determined that he/she is not entitled to indemnification under this Article. The right of indemnification provided in the Article shall be in addition to any rights to which any person concerned may otherwise be entitled to by contract or as a matter of law and shall inure to the benefit of the heirs, executors, and administrators of any such person. The Board shall have the power to purchase and maintain insurance on behalf of any person who is or was a member or officer of the Board, or is or was serving at the request of the Board as a director, officer, employee, or agent of another corporation or other entity, against any liability asserted against him/her and incurred by him/her in such capacity, or arising out of his/her status as such whether or not the Board would have the power to indemnify him/her against such liability under the provisions of this Article.</w:t>
      </w:r>
    </w:p>
    <w:p w14:paraId="28632801" w14:textId="141F78AC" w:rsidR="0040499C" w:rsidRPr="0040499C" w:rsidRDefault="0040499C" w:rsidP="003137EE">
      <w:pPr>
        <w:pStyle w:val="BodyText"/>
        <w:spacing w:after="120"/>
      </w:pPr>
      <w:r w:rsidRPr="0040499C">
        <w:rPr>
          <w:b/>
          <w:bCs/>
        </w:rPr>
        <w:t>Section 4</w:t>
      </w:r>
      <w:r w:rsidRPr="0040499C">
        <w:t xml:space="preserve"> </w:t>
      </w:r>
      <w:r w:rsidRPr="0040499C">
        <w:rPr>
          <w:w w:val="140"/>
        </w:rPr>
        <w:t xml:space="preserve">- </w:t>
      </w:r>
      <w:r w:rsidRPr="0040499C">
        <w:t>The intent of the Article is to protect and indemnify the members of the Board and officers against any liability to the fullest extent permitted by law in consideration of the services they render to the Board. Nothing contained in this Article shall be construed to limit or impair any other provisions of any other document providing protection or indemnification, including,</w:t>
      </w:r>
      <w:r w:rsidR="00DE5764">
        <w:t xml:space="preserve"> </w:t>
      </w:r>
      <w:r w:rsidRPr="0040499C">
        <w:t>but not limited to, the provisions contained in 15 Pa. C.S.A. Chapter 7B.</w:t>
      </w:r>
    </w:p>
    <w:p w14:paraId="17088039" w14:textId="77777777" w:rsidR="001400B0" w:rsidRDefault="001400B0" w:rsidP="001400B0">
      <w:pPr>
        <w:pStyle w:val="BodyText"/>
        <w:kinsoku w:val="0"/>
        <w:overflowPunct w:val="0"/>
        <w:spacing w:after="120"/>
        <w:ind w:left="1991" w:right="1991"/>
        <w:jc w:val="center"/>
        <w:rPr>
          <w:w w:val="105"/>
        </w:rPr>
      </w:pPr>
      <w:r>
        <w:rPr>
          <w:w w:val="105"/>
        </w:rPr>
        <w:t xml:space="preserve">ARTICLE XVI </w:t>
      </w:r>
      <w:r>
        <w:rPr>
          <w:w w:val="140"/>
        </w:rPr>
        <w:t>-</w:t>
      </w:r>
      <w:r>
        <w:rPr>
          <w:spacing w:val="-55"/>
          <w:w w:val="140"/>
        </w:rPr>
        <w:t xml:space="preserve"> </w:t>
      </w:r>
      <w:r>
        <w:rPr>
          <w:w w:val="105"/>
        </w:rPr>
        <w:t>AMENDMENTS TO BYLAWS</w:t>
      </w:r>
    </w:p>
    <w:p w14:paraId="51B00B79" w14:textId="63EE7E8E" w:rsidR="0040499C" w:rsidRPr="0040499C" w:rsidRDefault="0040499C" w:rsidP="00DE5764">
      <w:pPr>
        <w:pStyle w:val="BodyText"/>
        <w:spacing w:after="120"/>
      </w:pPr>
      <w:r w:rsidRPr="0040499C">
        <w:t>Amended only at Annual Conference by a two-thirds vote of the active Association Members</w:t>
      </w:r>
    </w:p>
    <w:p w14:paraId="1B2048E0" w14:textId="70F679F1" w:rsidR="0040499C" w:rsidRPr="0040499C" w:rsidRDefault="0040499C" w:rsidP="00DE5764">
      <w:pPr>
        <w:pStyle w:val="BodyText"/>
        <w:spacing w:after="120"/>
        <w:rPr>
          <w:w w:val="95"/>
        </w:rPr>
      </w:pPr>
      <w:r w:rsidRPr="0040499C">
        <w:t>present in General Assembly. Proposed amendments shall be presented to President and</w:t>
      </w:r>
      <w:r w:rsidRPr="0040499C">
        <w:rPr>
          <w:w w:val="95"/>
        </w:rPr>
        <w:t xml:space="preserve"> Chairperson by Bylaws Committee in writing at least sixty (60) days prior to the first day of the Annual Conference. Notice of proposed amendments shall be presented in writing to all members not less than thirty (30) days prior to Annual Conference. Proposed amendments shall be presented to members at Annual Conference registration and voted upon at a general session</w:t>
      </w:r>
      <w:r w:rsidR="001400B0">
        <w:rPr>
          <w:w w:val="95"/>
        </w:rPr>
        <w:t xml:space="preserve"> </w:t>
      </w:r>
      <w:r w:rsidRPr="0040499C">
        <w:rPr>
          <w:w w:val="95"/>
        </w:rPr>
        <w:t>of the association during the Annual Conference.</w:t>
      </w:r>
    </w:p>
    <w:sectPr w:rsidR="0040499C" w:rsidRPr="0040499C" w:rsidSect="001400B0">
      <w:pgSz w:w="1229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F6F19"/>
    <w:rsid w:val="00043CCE"/>
    <w:rsid w:val="000702D0"/>
    <w:rsid w:val="000960E0"/>
    <w:rsid w:val="000C5561"/>
    <w:rsid w:val="001400B0"/>
    <w:rsid w:val="00143E80"/>
    <w:rsid w:val="001E366D"/>
    <w:rsid w:val="003137EE"/>
    <w:rsid w:val="00315D31"/>
    <w:rsid w:val="0035011A"/>
    <w:rsid w:val="0040499C"/>
    <w:rsid w:val="004F5A16"/>
    <w:rsid w:val="005D60C6"/>
    <w:rsid w:val="00776504"/>
    <w:rsid w:val="008808AB"/>
    <w:rsid w:val="0092309F"/>
    <w:rsid w:val="00925DEA"/>
    <w:rsid w:val="009763E7"/>
    <w:rsid w:val="009B09C2"/>
    <w:rsid w:val="00A82B2E"/>
    <w:rsid w:val="00AC12C1"/>
    <w:rsid w:val="00AF6F19"/>
    <w:rsid w:val="00B2112A"/>
    <w:rsid w:val="00B22EED"/>
    <w:rsid w:val="00C857A6"/>
    <w:rsid w:val="00C916A8"/>
    <w:rsid w:val="00DA5922"/>
    <w:rsid w:val="00DE5764"/>
    <w:rsid w:val="00E26AA6"/>
    <w:rsid w:val="00F5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11AE"/>
  <w15:docId w15:val="{D57E88B1-C180-4C7B-9E2F-09A8F0FA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AC12C1"/>
    <w:rPr>
      <w:rFonts w:ascii="Palatino Linotype" w:eastAsia="Palatino Linotype" w:hAnsi="Palatino Linotype" w:cs="Palatino Linotype"/>
    </w:rPr>
  </w:style>
  <w:style w:type="character" w:customStyle="1" w:styleId="BodyTextChar">
    <w:name w:val="Body Text Char"/>
    <w:basedOn w:val="DefaultParagraphFont"/>
    <w:link w:val="BodyText"/>
    <w:uiPriority w:val="1"/>
    <w:rsid w:val="001400B0"/>
    <w:rPr>
      <w:rFonts w:ascii="Palatino Linotype" w:eastAsia="Palatino Linotype" w:hAnsi="Palatino Linotype" w:cs="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42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429AE-85CA-47F2-87B1-4100EF36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Susanne</dc:creator>
  <cp:lastModifiedBy>Schneider, Susanne</cp:lastModifiedBy>
  <cp:revision>2</cp:revision>
  <cp:lastPrinted>2024-07-29T13:11:00Z</cp:lastPrinted>
  <dcterms:created xsi:type="dcterms:W3CDTF">2026-06-18T18:48:00Z</dcterms:created>
  <dcterms:modified xsi:type="dcterms:W3CDTF">2026-06-18T18:48:00Z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ScandAll PRO V2.0.5</vt:lpwstr>
  </property>
  <property fmtid="{D5CDD505-2E9C-101B-9397-08002B2CF9AE}" pid="4" name="LastSaved">
    <vt:filetime>2024-07-29T00:00:00Z</vt:filetime>
  </property>
</Properties>
</file>